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Computing and Advanced Technologies Foundation of Extremadura (COMPUTAEX). Extremadura Supercomputing Centre</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Javier Corral García holds a PhD in Computer Technologies and a degree in Computer Science, both from the University of Extremadura. Since July 2020, he has been an Associate Lecturer in the Department of Computer Systems Engineering and Telematics at the UEx. Since 2020, he has been the Head of R&amp;D Projects at COMPUTAEX and the Extremadura Supercomputer Centre, a member node of the Spanish Supercomputing Network recognized as a Unique Scientific-Technical Infrastructure by the Ministry of Science. As part of his work at COMPUTAEX, he leads and participates as a researcher in R&amp;D projects invo</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Centre, located in Caceres (a World Heritage City), which operates an infrastructure consisting of several supercomputers recognized as a unique asset in the Spanish research system. COMPUTAEX operates a modern Data Processing Center equipped with advanced supercomputing infrastructure, including over 3,600 cores and 40,000 CUDA cores, recently expanded with two racks from the MareNostrum 4 supercomputer.</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 Corral García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javier.corral@computaex.es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 Corral García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javier.corral@computaex.es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