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José María Montanero conducted his Doctoral Thesis in the field of kinetic theory of gases and granular media in the area of theoretical physics and worked in that field until around 2005. Looking for fields with more technological relevance, JMM became interested in problems of fluid dynamics dominated by surface tension, analyzing theoretically and experimentally capillary systems like liquid bridges, jets, drops, bubbles, emulsions, etc., both on the millimeter and micrometer scales.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Continuous funding from the Research National Program has allowed us to equip a laboratory specialized in microfluidics. The projects granted by the Junta de Extremadura have enabled the opening of a line of research in Bioengineering. his group frequently conducts both numerical and experimental studies for companies &lt;/w:t&gt;&lt;w:br/&gt;&lt;w:t xml:space="preserve"&gt;&lt;/w:t&gt;&lt;w:br/&gt;&lt;w:t xml:space="preserve"&gt;Research facilities: Microfluidics lab (2 ultra-high-speed cameras, Kirana5M, and 3 high-speed cameras) and MEMS lab (Nanoscribe).&lt;/w:t&gt;&lt;w:br/&gt;&lt;w:t xml:space="preserve"&gt;&lt;/w:t&gt;&lt;w:br/&gt;&lt;w:t xml:space="preserve"&gt;Networking possibilities and external relations: Universities of Seville, Porto, Minho, Bristol, Oxford, Limerick and York among others.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Mª Montanero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jmm@unex.es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http://www.mfluidosunex.es/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Mª Montanero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jmm@unex.es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http://www.mfluidosunex.es/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