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Meat and Meat Products Quality Area research group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https://www.opesecti.es/wp-content/uploads/2025/06/CICYTEX_Meat-Products-Quality-Area_Biodiv_01_two_stage.pdf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access to the Vegas del Guadiana Aquaculture Center, focused on population monitoring, water repopulation, and testing new aquaculture technologies. We also bring expertise in innovative, high-value aquaculture solutions that promote production diversification and freshwater ecosystem sustainability. We contribute to EU projects such as NECA, GOOD, MARGINUP!, and TECH4EFFICIENCYEDIH, reinforcing our role in sustainable and tech-driven aquaculture development.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HORIZON-CL6-2025-01-BIODIV-01-two-stage | HORIZON-CL6-2025-01-BIODIV-01-two-stage: Living labs co-creating innovative solutions for forests and freshwater ecosystems restoration</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 Ortiz Llerena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alberto.ortiz@juntaex.es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 Ortiz Llerena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alberto.ortiz@juntaex.es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