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Germplasm Bank and Pasture and Fodder Crops Area research groups of the Centre of Scientific and Technological Research of Extremadura (CICYTEX)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entity with patrimonial, organizational and functional autonomy of the Regional Government of Extremadura that provide coverage and support to the agricultural and livestock sector in R&amp;D and Innovation. To this end, we develop applied research projects tailored to the needs of the different stakeholders in the sector, supporting the agricultural company and betting on the transfer of the knowledge generated in its facilities.&lt;/w:t&gt;&lt;w:br/&gt;&lt;w:t xml:space="preserve"&gt;&lt;/w:t&gt;&lt;w:br/&gt;&lt;w:t xml:space="preserve"&gt;Link: https://www.opesecti.es/wp-content/uploads/2025/06/CICYTEX_Germplasm-Bank_and_Pasture_and_Fodder_Crops_Area_Biodiv_03_02_twostage.pdf</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have participated in numerous European projects, including RITECA I &amp; II, PRODEHESA-MONTADO, INNOACE, AGROSMARTCOOP, SUBERVIN, and SUBERNOVA, focused on cross-border research, innovation, and rural development. We also contributed to LIFE PRIORAT+MONTSANT for sustainability in viticulture and COST Action FA1303 on grapevine disease control. These projects highlight our strong commitment to agri-food innovation, sustainability, and cross-regional cooperation.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HORIZON-CL6-2025-01-BIODIV-03 | HORIZON-CL6-2025-01-BIODIV-03: Strengthening taxonomic approaches for biodiversity</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 HORIZON-CL6-2025-01-BIODIV-02-two-stage | HORIZON-CL6-2025-01-BIODIV-02-two-stage: Breeding for resilience: enhancing multi-stress tolerance in crops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Galea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francisco.galea@juntaex.es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Galea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francisco.galea@juntaex.es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