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Germplasm Bank and Pasture and Fodder Crops Area research groups of the Centre of Scientific and Technological Research of Extremadura (CICYTEX)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CICYTEX is a public entity with patrimonial, organizational and functional autonomy of the Regional Government of Extremadura that provide coverage and support to the agricultural and livestock sector in R&amp;D and Innovation. To this end, we develop applied research projects tailored to the needs of the different stakeholders in the sector, supporting the agricultural company and betting on the transfer of the knowledge generated in its facilities.&lt;/w:t&gt;&lt;w:br/&gt;&lt;w:t xml:space="preserve"&gt;&lt;/w:t&gt;&lt;w:br/&gt;&lt;w:t xml:space="preserve"&gt;Link: https://www.opesecti.es/wp-content/uploads/2025/06/CICYTEX_Germplasm-Bank_and_Pasture_and_Fodder_Crops_Area_Farm2Fork_04_06.pdf</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have taken part in major European projects such as RITECA I &amp; II, PRODEHESA-MONTADO, INNOACE, and AGROSMARTCOOP, focused on cross-border cooperation, innovation, and rural development. Other key initiatives include SUBERVIN and SUBERNOVA (cork sector), LIFE PRIORAT+MONTSANT (sustainable viticulture), and COST Action FA1303 (grapevine disease control). These projects reflect our strong commitment to sustainability, technological transfer, and regional competitiveness.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HORIZON-CL6-2025-02-FARM2FORK-04 | HORIZON-CL6-2025-02-FARM2FORK-04-two-stage: Research and innovation for food waste prevention and reduction at household level through measurement, monitoring and new technologies</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 HORIZON-CL6-2025-02-FARM2FORK-06 | HORIZON-CL6-2025-02-FARM2FORK-06: Improving grassland management in European livestock farming systems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 Galea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francisco.galea@juntaex.es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 Galea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francisco.galea@juntaex.es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