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Computing and Advanced Technologies Foundation of Extremadura. Extremadura Supercomputing Centre. (COMPUTAEX | Supervisor)</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COMPUTAEX has supported over 250 research projects with public and private partners, contributing to several doctoral theses. It is committed to consolidating its role as a regional leader in artificial intelligence through its own AI research team focused on training, experimentation and applied projects in machine learning, deep learning, natural language processing and edge AI. Key initiatives include the PULSE platform for energy-efficient data centers, federated learning projects, AI for public administration and healthcare, as well as dissemination and training activities.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(COMPUTAEX) in Cáceres, part of the Spanish Supercomputing Network. The center operates several supercomputers and provides regional and national services. Research areas include HPC, artificial intelligence, quantum computing, cybersecurity and optimization, with applications in medicine, energy efficiency, cosmology and agriculture. COMPUTAEX is part of the RES-ICTS, distributed across the country, and belongs to the SECTI.</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Antonio Rico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juanantonio.rico@computaex.es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Antonio Rico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juanantonio.rico@computaex.es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