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Computing and Advanced Technologies Foundation of Extremadura (COMPUTAEX). Extremadura Supercomputing Centre</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COMPUTAEX has supported over 250 research projects with public and private partners, contributing to several doctoral theses. It is committed to consolidating its role as a regional leader in artificial intelligence through its own AI research team focused on training, experimentation and applied projects in machine learning, deep learning, natural language processing and edge AI. Key initiatives include the PULSE platform for energy-efficient data centers, federated learning projects, AI for public administration and healthcare, as well as dissemination and training activities.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 hosted at the Extremadura Supercomputing Center (COMPUTAEX) in Cáceres, part of the Spanish Supercomputing Network. The center operates several supercomputers and provides regional and national services. Research areas include HPC, artificial intelligence, quantum computing, cybersecurity and optimization, with applications in medicine, energy efficiency, cosmology and agriculture. COMPUTAEX is part of the RES-ICTS, distributed across the country, and belongs to the SECTI.</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Antonio Rico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juanantonio.rico@computaex.es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Antonio Rico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juanantonio.rico@computaex.es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