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Artificial Intelligence Researcher in Hybrid Digital Twins and Intelligent Systems (COMPUTAEX | Supervisor)</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COMPUTAEX has supported over 250 research projects with public and private partners, contributing to several doctoral theses. It is committed to consolidating its role as a regional leader in artificial intelligence through its own AI research team focused on training, experimentation and applied projects in machine learning, deep learning, natural language processing and edge AI. Key initiatives include the PULSE platform for energy-efficient data centers, federated learning projects, AI for public administration and healthcare, as well as dissemination and training activities.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(COMPUTAEX) in Cáceres, part of the Spanish Supercomputing Network. The center operates several supercomputers and provides regional and national services. Research areas include HPC, artificial intelligence, quantum computing, cybersecurity and optimization, with applications in medicine, energy efficiency, cosmology and agriculture. The project objective is Artificial Intelligence Researcher in Hybrid Digital Twins and Intelligent Systems. COMPUTAEX is part of the RES ICTS and belongs to the SECTI.</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