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6: Research Group of Neuroimmunophysiology and Chrononutrition of the University of Extremadura (UEX)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University of Extremadura is the main public university in Extremadura with 4 campuses, over 24,000 students, and 2,405 researchers. Ranked 593 globally (SIR 2022) and Campus of International Excellence, it coordinates the EU GREEN alliance and participates in Horizon Europe and Erasmus+ projects. Its Neuroimmunophysiology and Chrononutrition group studies circadian rhythms, diet-health interactions, bioactive compounds, and conducts clinical trials with biomarker analysis.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University of Extremadura’s Neuroimmunophysiology and Chrononutrition group specializes in circadian rhythms, chrononutrition, and bioactive compound research. For FARM2FORK topics, it could help designing intervention studies on functional foods affecting mood, sleep, cognition, and biomarkers, with a strong track record in multidisciplinary nutrition, physiology, and sustainability research. For CIRCBIO, it could identifie and screen bioactive compounds from plant matrices, supporting circular bioeconomy strategies and sustainable valorization of terrestrial resources.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Garrido Álvarez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mgaalvarez@unex.es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https://opendata.unex.es/investiga/grupos-de-investigacion/BBB021</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Garrido Álvarez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mgaalvarez@unex.es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https://opendata.unex.es/investiga/grupos-de-investigacion/BBB021</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