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3D bioprinting research group - School of Industrial Engineering of the University of Extremadura (EII-UEX)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University of Extremadura’s School of Industrial Engineering (EII) provides an interdisciplinary research environment combining materials science, industrial engineering, automation, electronics, digital manufacturing and sustainability. Its shared laboratories, FabLab and strong experience in European projects support collaborative research, prototyping and technology transfer. Within EII, INGEBIO3D integrates materials engineering, biology and 3D printing, focusing on bioprinting, biomaterials, bio-based hydrogels, biosensors and applied biomanufacturing solutions.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Development of 3D-bioprinted bio-based constructs combining functional hydrogels, living cell aggregates, embedded biosensors, and stimuli-responsive drug delivery. Platforms enable real-time monitoring of wound or in vitro model conditions (pH, temperature, metabolic activity, biomarkers) and adaptive therapeutic or experimental responses. Hierarchically porous architectures ensure nutrient diffusion, cell viability, and reproducible, scalable biofabrication for wound healing, biosensing, screening, and bioprocess optimisation.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Alfonso Carlos Marcos Romero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acmarcos@unex.es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https://eii.unex.es/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Alfonso Carlos Marcos Romero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acmarcos@unex.es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https://eii.unex.es/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