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3D bioprinting research group - School of Industrial Engineering of the University of Extremadura (EII-UEX)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Extremadura’s School of Industrial Engineering (EII) provides an interdisciplinary research environment combining materials science, industrial engineering, automation, electronics, digital manufacturing and sustainability. Its shared laboratories, FabLab and strong experience in European projects support collaborative research, prototyping and technology transfer. Within EII, INGEBIO3D integrates materials engineering, biology and 3D printing, focusing on bioprinting, biomaterials, bio-based hydrogels, biosensors and applied biomanufacturing solutions.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Development of 3D-bioprinted bio-based constructs combining functional hydrogels, living cell aggregates, embedded biosensors, and stimuli-responsive drug delivery. Platforms enable real-time monitoring of wound or in vitro model conditions (pH, temperature, metabolic activity, biomarkers) and adaptive therapeutic or experimental responses. Hierarchically porous architectures ensure nutrient diffusion, cell viability, and reproducible, scalable biofabrication for wound healing, biosensing, screening, and bioprocess optimisation.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Carlos Marcos Romero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acmarcos@unex.es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https://eii.unex.es/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Carlos Marcos Romero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acmarcos@unex.es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https://eii.unex.es/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