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HORIZON-CL6-2027-02-CLIMATE-01-two-stage: INTROMAC</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INTROMAC is a public research institute of the Extremadura, focused on improving competitiveness in energy-efficient construction through R&amp;D and innovation. Its work covers energy efficiency, sustainability, advanced materials, heritage and industrial optimisation. The centre combines expertise in sustainable construction, retrofitting, monitoring, acoustics and circular economy with capabilities in waste recycling, material revalorisation, sustainable mining and water management, supported by advanced testing facilities and participation in national standardisation committees.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INTROMAC contributes expertise in Nature-Based Solutions through innovative and sustainable construction materials. The centre develops circular drainage layers using valorised industrial waste streams that actively regulate water flow during floods and enhance infiltration during droughts. By transforming conventional pavements into dynamic systems for urban water management, INTROMAC supports resilient and sustainable urban infrastructure based on alternative raw materials and circular economy principles.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Concepción Pacheco Menor</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concepcion.pacheco@org.juntaex.es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http://intromac.juntaex.es/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Concepción Pacheco Menor</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concepcion.pacheco@org.juntaex.es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http://intromac.juntaex.es/</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