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MSCA-PF 2026:  Biotechnological recovery of critical metals from industrial and battery waste streams through integrated biohydrometallurgical processes. Iberian Center for Research in Energy Storage (CIIAE | Supervisor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lmudena González has over 15 years of experience in biotechnology process optimisation, agro-food by-product treatment and biogas production through biomethanisation. She has participated in 6 regional and national projects, publishing 16 Q1 articles and 18 book chapters. Since 2023, she has worked at CIIAE on biohydrometallurgy for critical metal recovery from end-of-life batteries using bioleaching, bioprecipitation and bioelectrochemistr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t CIIAE, researchers access advanced laboratories, pilot plants and modelling tools covering the full energy-storage cycle from materials to scale-up. Facilities include TGA, DSC, DLS, XRD, TEM and prototype testing, supporting high-TRL research. Since 2022, CIIAE has participated in 10 EU projects, 1 ERC-STG, 3 MSCA-PF and 7 MSCA-Cofund grants. The centre also benefits from the project-management support of FUNDECYT-PCTEX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mudena González González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mudena.gonzalez@ciiae.org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iae.org/en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mudena González González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mudena.gonzalez@ciiae.org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iae.org/en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