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Integrating advanced experimental approaches and computational expertise in sustainable chemistry, environmental remediation and pharmacology. University of Extremadura (UEX | Candidate for Global Fellowship)</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Juan Manuel Garrido Zoido holds a PhD in Sustainable Chemistry from the University of Extremadura. He specializes in heterocycle synthesis and DFT calculations applied to reaction mechanisms, kinetics and environmental remediation. He has authored 12 publications in high-impact journals, serves as reviewer for international publishers, and has experience supervising Bachelor’s and Master’s theses. His profile combines computational chemistry, sustainable materials and green chemistry approaches linked to circular economy strategies.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candidate offers expertise in sustainable organic synthesis, heterocyclic chemistry and advanced DFT calculations applied to reaction mechanisms, kinetics and environmental remediation processes. His profile combines computational chemistry with green chemistry and circular economy approaches, including the development of sustainable materials from waste. He also contributes experience in scientific supervision, interdisciplinary collaboration, scientific publishing, peer review activities and project management, together with strong autonomy and organizational skills.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Garrido Zoido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jmgarridoz@unex.es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https://opendata.unex.es/investiga/investigadores/5262c06c1594d441e1583d156da5a656</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Juan Manuel Garrido Zoido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jmgarridoz@unex.es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https://opendata.unex.es/investiga/investigadores/5262c06c1594d441e1583d156da5a656</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